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86" w:rsidRDefault="00A030AD" w:rsidP="00841286">
      <w:pPr>
        <w:shd w:val="clear" w:color="auto" w:fill="FFFFFF"/>
        <w:spacing w:line="270" w:lineRule="atLeast"/>
        <w:ind w:firstLine="720"/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9CD6861" wp14:editId="682A271B">
            <wp:simplePos x="0" y="0"/>
            <wp:positionH relativeFrom="column">
              <wp:posOffset>2185035</wp:posOffset>
            </wp:positionH>
            <wp:positionV relativeFrom="paragraph">
              <wp:posOffset>-5715</wp:posOffset>
            </wp:positionV>
            <wp:extent cx="1621155" cy="895350"/>
            <wp:effectExtent l="0" t="0" r="0" b="0"/>
            <wp:wrapTight wrapText="bothSides">
              <wp:wrapPolygon edited="0">
                <wp:start x="0" y="0"/>
                <wp:lineTo x="0" y="21140"/>
                <wp:lineTo x="21321" y="21140"/>
                <wp:lineTo x="21321" y="0"/>
                <wp:lineTo x="0" y="0"/>
              </wp:wrapPolygon>
            </wp:wrapTight>
            <wp:docPr id="2" name="Picture 2" descr="http://www.ncl-coll.ac.uk/_assets/images/sit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cl-coll.ac.uk/_assets/images/site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45403E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42B16CB" wp14:editId="7416375E">
            <wp:simplePos x="0" y="0"/>
            <wp:positionH relativeFrom="column">
              <wp:posOffset>4229100</wp:posOffset>
            </wp:positionH>
            <wp:positionV relativeFrom="paragraph">
              <wp:posOffset>-453390</wp:posOffset>
            </wp:positionV>
            <wp:extent cx="2219960" cy="1647825"/>
            <wp:effectExtent l="0" t="0" r="8890" b="9525"/>
            <wp:wrapTight wrapText="bothSides">
              <wp:wrapPolygon edited="0">
                <wp:start x="4819" y="0"/>
                <wp:lineTo x="1483" y="1748"/>
                <wp:lineTo x="741" y="2247"/>
                <wp:lineTo x="741" y="11986"/>
                <wp:lineTo x="0" y="11986"/>
                <wp:lineTo x="0" y="19977"/>
                <wp:lineTo x="6673" y="19977"/>
                <wp:lineTo x="6673" y="21475"/>
                <wp:lineTo x="12419" y="21475"/>
                <wp:lineTo x="14828" y="21475"/>
                <wp:lineTo x="17794" y="20726"/>
                <wp:lineTo x="19277" y="19977"/>
                <wp:lineTo x="21501" y="17729"/>
                <wp:lineTo x="21501" y="7491"/>
                <wp:lineTo x="21130" y="3746"/>
                <wp:lineTo x="8526" y="0"/>
                <wp:lineTo x="481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286">
        <w:rPr>
          <w:rFonts w:ascii="Arial" w:eastAsia="Times New Roman" w:hAnsi="Arial" w:cs="Arial"/>
          <w:b/>
          <w:noProof/>
          <w:color w:val="45403E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357183F" wp14:editId="0F49EF8C">
            <wp:simplePos x="0" y="0"/>
            <wp:positionH relativeFrom="column">
              <wp:posOffset>41910</wp:posOffset>
            </wp:positionH>
            <wp:positionV relativeFrom="paragraph">
              <wp:posOffset>1905</wp:posOffset>
            </wp:positionV>
            <wp:extent cx="1694815" cy="895350"/>
            <wp:effectExtent l="0" t="0" r="635" b="0"/>
            <wp:wrapTight wrapText="bothSides">
              <wp:wrapPolygon edited="0">
                <wp:start x="0" y="0"/>
                <wp:lineTo x="0" y="21140"/>
                <wp:lineTo x="21365" y="21140"/>
                <wp:lineTo x="21365" y="0"/>
                <wp:lineTo x="0" y="0"/>
              </wp:wrapPolygon>
            </wp:wrapTight>
            <wp:docPr id="1" name="Picture 1" descr="Y:\Marketing &amp; Communications (New)\Logos\TWS new logo\twschosencolour2 -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rketing &amp; Communications (New)\Logos\TWS new logo\twschosencolour2 -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286" w:rsidRDefault="00841286" w:rsidP="00841286">
      <w:pPr>
        <w:shd w:val="clear" w:color="auto" w:fill="FFFFFF"/>
        <w:spacing w:line="270" w:lineRule="atLeast"/>
        <w:ind w:firstLine="720"/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</w:pPr>
    </w:p>
    <w:p w:rsidR="00841286" w:rsidRDefault="00841286" w:rsidP="00841286">
      <w:pPr>
        <w:shd w:val="clear" w:color="auto" w:fill="FFFFFF"/>
        <w:spacing w:line="270" w:lineRule="atLeast"/>
        <w:ind w:firstLine="720"/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</w:pPr>
    </w:p>
    <w:p w:rsidR="00841286" w:rsidRDefault="00841286" w:rsidP="00841286">
      <w:pPr>
        <w:shd w:val="clear" w:color="auto" w:fill="FFFFFF"/>
        <w:spacing w:line="270" w:lineRule="atLeast"/>
        <w:ind w:firstLine="720"/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</w:pPr>
    </w:p>
    <w:p w:rsidR="00841286" w:rsidRDefault="00841286" w:rsidP="00841286">
      <w:pPr>
        <w:shd w:val="clear" w:color="auto" w:fill="FFFFFF"/>
        <w:spacing w:line="270" w:lineRule="atLeast"/>
        <w:ind w:firstLine="720"/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</w:pPr>
    </w:p>
    <w:p w:rsidR="00841286" w:rsidRDefault="00841286" w:rsidP="00841286">
      <w:pPr>
        <w:shd w:val="clear" w:color="auto" w:fill="FFFFFF"/>
        <w:spacing w:line="270" w:lineRule="atLeast"/>
        <w:ind w:firstLine="720"/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</w:pPr>
    </w:p>
    <w:p w:rsidR="00841286" w:rsidRDefault="00841286" w:rsidP="00841286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</w:pPr>
    </w:p>
    <w:p w:rsidR="00A030AD" w:rsidRDefault="00A030AD" w:rsidP="00841286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</w:pPr>
    </w:p>
    <w:p w:rsidR="00841286" w:rsidRDefault="00FA3DB3" w:rsidP="00841286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4"/>
          <w:szCs w:val="24"/>
          <w:lang w:eastAsia="en-GB"/>
        </w:rPr>
      </w:pPr>
      <w:r w:rsidRPr="002B4312"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  <w:t xml:space="preserve">Project Title – </w:t>
      </w:r>
      <w:r w:rsidRPr="002B4312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TWS</w:t>
      </w:r>
      <w:r w:rsid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Coaching Bursary Scheme</w:t>
      </w:r>
    </w:p>
    <w:p w:rsidR="00326501" w:rsidRDefault="00326501" w:rsidP="00841286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45403E"/>
          <w:sz w:val="20"/>
          <w:szCs w:val="20"/>
          <w:lang w:eastAsia="en-GB"/>
        </w:rPr>
      </w:pPr>
    </w:p>
    <w:p w:rsidR="00FA3DB3" w:rsidRPr="00841286" w:rsidRDefault="00FA3DB3" w:rsidP="00841286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45403E"/>
          <w:sz w:val="20"/>
          <w:szCs w:val="20"/>
          <w:lang w:eastAsia="en-GB"/>
        </w:rPr>
      </w:pPr>
      <w:r w:rsidRPr="002B4312"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  <w:t>Partnership</w:t>
      </w:r>
      <w:r w:rsidRPr="002B4312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– Tyne &amp; Wear</w:t>
      </w:r>
      <w:r w:rsid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Sport, Newcastle College</w:t>
      </w:r>
      <w:r w:rsidR="00326501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, NGB’s</w:t>
      </w:r>
    </w:p>
    <w:p w:rsidR="00326501" w:rsidRDefault="00326501" w:rsidP="00841286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</w:pPr>
    </w:p>
    <w:p w:rsidR="00FA3DB3" w:rsidRPr="002B4312" w:rsidRDefault="00FA3DB3" w:rsidP="00841286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4"/>
          <w:szCs w:val="24"/>
          <w:lang w:eastAsia="en-GB"/>
        </w:rPr>
      </w:pPr>
      <w:r w:rsidRPr="002B4312"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  <w:t>Funding</w:t>
      </w:r>
      <w:r w:rsid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– Tyne &amp; Wear</w:t>
      </w:r>
      <w:r w:rsidR="002B4312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</w:t>
      </w:r>
      <w:r w:rsidR="00897C9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Sport </w:t>
      </w:r>
      <w:r w:rsidR="002B4312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&amp; </w:t>
      </w:r>
      <w:r w:rsidRPr="002B4312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European Social Funding</w:t>
      </w:r>
    </w:p>
    <w:p w:rsidR="00841286" w:rsidRDefault="00841286" w:rsidP="002B6D4D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45403E"/>
          <w:lang w:eastAsia="en-GB"/>
        </w:rPr>
      </w:pPr>
    </w:p>
    <w:p w:rsidR="00A030AD" w:rsidRDefault="00A030AD" w:rsidP="002B6D4D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</w:pPr>
    </w:p>
    <w:p w:rsidR="00FA3DB3" w:rsidRPr="00841286" w:rsidRDefault="00FA3DB3" w:rsidP="002B6D4D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4"/>
          <w:szCs w:val="24"/>
          <w:lang w:eastAsia="en-GB"/>
        </w:rPr>
      </w:pPr>
      <w:r w:rsidRPr="00841286"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  <w:t xml:space="preserve">Project Aims: </w:t>
      </w:r>
      <w:r w:rsidR="003C76A5" w:rsidRPr="00841286"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  <w:t xml:space="preserve">To support workforce development in the volunteer sport sector. </w:t>
      </w:r>
      <w:r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Adding to the already successful TWS coaching bursary scheme, </w:t>
      </w:r>
      <w:r w:rsidR="00807256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the project </w:t>
      </w:r>
      <w:r w:rsidR="00CD38F8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provide</w:t>
      </w:r>
      <w:r w:rsidR="00807256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s</w:t>
      </w:r>
      <w:r w:rsidR="00CD38F8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volunteer co</w:t>
      </w:r>
      <w:r w:rsidR="00E61841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aches</w:t>
      </w:r>
      <w:r w:rsidR="00897C9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with</w:t>
      </w:r>
      <w:r w:rsidR="00E61841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the opportunity to access </w:t>
      </w:r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heavily subsidised or free governing body Level 1 and L</w:t>
      </w:r>
      <w:r w:rsidR="00CD38F8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evel 2 coachi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ng awards in a range of sports</w:t>
      </w:r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.</w:t>
      </w:r>
    </w:p>
    <w:p w:rsidR="00FA3DB3" w:rsidRPr="00841286" w:rsidRDefault="00FA3DB3" w:rsidP="002B6D4D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4"/>
          <w:szCs w:val="24"/>
          <w:lang w:eastAsia="en-GB"/>
        </w:rPr>
      </w:pPr>
    </w:p>
    <w:p w:rsidR="004735A5" w:rsidRPr="00841286" w:rsidRDefault="00FA3DB3" w:rsidP="002B6D4D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4"/>
          <w:szCs w:val="24"/>
          <w:lang w:eastAsia="en-GB"/>
        </w:rPr>
      </w:pPr>
      <w:r w:rsidRPr="00841286"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  <w:t>Delivery Method:</w:t>
      </w:r>
      <w:r w:rsidR="003B0128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TWS </w:t>
      </w:r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worked in partnership </w:t>
      </w:r>
      <w:r w:rsidR="003B0128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with Newcastle College</w:t>
      </w:r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to access European Social Funding and enabled a </w:t>
      </w:r>
      <w:r w:rsidR="003B0128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co</w:t>
      </w:r>
      <w:r w:rsidR="00897C9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-</w:t>
      </w:r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ordinated </w:t>
      </w:r>
      <w:r w:rsidR="003B0128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delivery</w:t>
      </w:r>
      <w:r w:rsidR="00F91240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of 20</w:t>
      </w:r>
      <w:r w:rsidR="003B0128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NGB coaching courses for volunteer coaches acros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s </w:t>
      </w:r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the region</w:t>
      </w:r>
      <w:r w:rsidR="003B0128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. A TNA was </w:t>
      </w:r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undertaken</w:t>
      </w:r>
      <w:r w:rsidR="003B0128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in December 2014 </w:t>
      </w:r>
      <w:r w:rsidR="004735A5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with clubs and NGB’s </w:t>
      </w:r>
      <w:r w:rsidR="003B0128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to determine the workforce needs of local clubs. The results of the TNA survey were used </w:t>
      </w:r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by the Coaching </w:t>
      </w:r>
      <w:proofErr w:type="gramStart"/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Development  Manager</w:t>
      </w:r>
      <w:proofErr w:type="gramEnd"/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</w:t>
      </w:r>
      <w:r w:rsidR="003B0128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to c</w:t>
      </w:r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reate</w:t>
      </w:r>
      <w:r w:rsidR="003B0128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</w:t>
      </w:r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a</w:t>
      </w:r>
      <w:r w:rsidR="00F91240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</w:t>
      </w:r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workforce plan detailing a number of</w:t>
      </w:r>
      <w:r w:rsidR="00CD38F8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level 1 and level 2 coaching </w:t>
      </w:r>
      <w:r w:rsidR="004735A5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c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ourses </w:t>
      </w:r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with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in Tyne &amp; Wear </w:t>
      </w:r>
      <w:r w:rsidR="00F91240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between January 2015 – July 2015.</w:t>
      </w:r>
    </w:p>
    <w:p w:rsidR="004735A5" w:rsidRPr="00841286" w:rsidRDefault="004735A5" w:rsidP="002B6D4D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4"/>
          <w:szCs w:val="24"/>
          <w:lang w:eastAsia="en-GB"/>
        </w:rPr>
      </w:pPr>
    </w:p>
    <w:p w:rsidR="00D73683" w:rsidRPr="00841286" w:rsidRDefault="004735A5" w:rsidP="002B6D4D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4"/>
          <w:szCs w:val="24"/>
          <w:lang w:eastAsia="en-GB"/>
        </w:rPr>
      </w:pPr>
      <w:r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TWS worked closely with the NGB</w:t>
      </w:r>
      <w:r w:rsidR="00897C9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s</w:t>
      </w:r>
      <w:r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to ensure the right people were given the opportunities to access</w:t>
      </w:r>
      <w:r w:rsidR="003C76A5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these courses, which</w:t>
      </w:r>
      <w:r w:rsidR="003B0128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</w:t>
      </w:r>
      <w:r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in most cases,</w:t>
      </w:r>
      <w:r w:rsidR="003C76A5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were</w:t>
      </w:r>
      <w:r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</w:t>
      </w:r>
      <w:r w:rsidR="003C76A5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100% funded</w:t>
      </w:r>
      <w:r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</w:t>
      </w:r>
      <w:r w:rsidR="00D73683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through the European Social Funding as part of 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the Newcastle College I</w:t>
      </w:r>
      <w:r w:rsidR="00D73683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nnovation project. </w:t>
      </w:r>
      <w:r w:rsidR="00CF40CE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The courses were open to 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all clubs although the </w:t>
      </w:r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NGBs 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were responsible for </w:t>
      </w:r>
      <w:r w:rsidR="006F7853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nominating and endorsing the most 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appropriate </w:t>
      </w:r>
      <w:r w:rsidR="00776C99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individuals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to access this support. </w:t>
      </w:r>
      <w:r w:rsidR="00F403F7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All </w:t>
      </w:r>
      <w:r w:rsidR="00A612AE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individuals were aged 19 and over, were</w:t>
      </w:r>
      <w:r w:rsidR="00F403F7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actively volunteering with</w:t>
      </w:r>
      <w:r w:rsidR="00A612AE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in a club environment and </w:t>
      </w:r>
      <w:r w:rsidR="00F403F7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commit</w:t>
      </w:r>
      <w:r w:rsidR="00897C9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ted</w:t>
      </w:r>
      <w:r w:rsidR="00F403F7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to completing the re</w:t>
      </w:r>
      <w:r w:rsidR="00A612AE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quired paperwork and </w:t>
      </w:r>
      <w:r w:rsidR="003C76A5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all required </w:t>
      </w:r>
      <w:r w:rsidR="00F403F7" w:rsidRPr="00841286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course files by the end of July 2015. </w:t>
      </w:r>
    </w:p>
    <w:p w:rsidR="00FA3DB3" w:rsidRPr="00841286" w:rsidRDefault="00FA3DB3" w:rsidP="002B6D4D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lang w:eastAsia="en-GB"/>
        </w:rPr>
      </w:pPr>
    </w:p>
    <w:p w:rsidR="00FA3DB3" w:rsidRDefault="00FA3DB3" w:rsidP="002B6D4D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4"/>
          <w:szCs w:val="24"/>
          <w:lang w:eastAsia="en-GB"/>
        </w:rPr>
      </w:pPr>
      <w:r w:rsidRPr="00A612AE"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  <w:t>Evaluation:</w:t>
      </w:r>
      <w:r w:rsidR="00A612AE"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  <w:t xml:space="preserve"> </w:t>
      </w:r>
      <w:r w:rsidR="00897C9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10</w:t>
      </w:r>
      <w:r w:rsidR="00897C94" w:rsidRPr="00A612AE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L</w:t>
      </w:r>
      <w:r w:rsidR="00A612AE" w:rsidRPr="00A612AE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evel 1 </w:t>
      </w:r>
      <w:r w:rsidR="00AE4C3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and </w:t>
      </w:r>
      <w:r w:rsidR="00897C9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10</w:t>
      </w:r>
      <w:r w:rsidR="00897C94" w:rsidRPr="00A612AE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L</w:t>
      </w:r>
      <w:r w:rsidR="00A612AE" w:rsidRPr="00A612AE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evel 2 </w:t>
      </w:r>
      <w:r w:rsidR="00A612AE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coaching courses </w:t>
      </w:r>
      <w:r w:rsidR="00AE4C3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were delivered and completed during the seven</w:t>
      </w:r>
      <w:r w:rsidR="00A612AE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month period, 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enabling</w:t>
      </w:r>
      <w:r w:rsidR="00A612AE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218 individuals to gain nationa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lly recognised coaching awards. </w:t>
      </w:r>
      <w:r w:rsidR="00A030AD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I</w:t>
      </w:r>
      <w:r w:rsidR="00683D6C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ndividuals were representative of over 100 local community clubs and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collectively gave back over 2500 hours of voluntary coaching. All are </w:t>
      </w:r>
      <w:r w:rsidR="00683D6C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now actively assist</w:t>
      </w:r>
      <w:r w:rsidR="00897C9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ing</w:t>
      </w:r>
      <w:r w:rsidR="00683D6C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and lead</w:t>
      </w:r>
      <w:r w:rsidR="00897C9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ing</w:t>
      </w:r>
      <w:r w:rsidR="00683D6C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coaching sessions in new and existing groups of participants ranging from 4 to 50+ age groups. </w:t>
      </w:r>
      <w:r w:rsidR="00A612AE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This is without doubt the largest number of newly and further qualified coaches 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provided with additional training </w:t>
      </w:r>
      <w:r w:rsidR="00683D6C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at any one time in</w:t>
      </w:r>
      <w:r w:rsidR="00A612AE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T</w:t>
      </w:r>
      <w:r w:rsidR="00683D6C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yne &amp; Wear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. A</w:t>
      </w:r>
      <w:r w:rsidR="00683D6C" w:rsidRPr="00683D6C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s a direct result </w:t>
      </w:r>
      <w:r w:rsidR="00683D6C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community clubs </w:t>
      </w:r>
      <w:r w:rsidR="003E1B2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have </w:t>
      </w:r>
      <w:r w:rsidR="00247B0C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much needed sustainability</w:t>
      </w:r>
      <w:r w:rsidR="003E1B2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, </w:t>
      </w:r>
      <w:r w:rsidR="00247B0C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increased </w:t>
      </w:r>
      <w:r w:rsidR="003E1B2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capacity to deliver </w:t>
      </w:r>
      <w:r w:rsidR="00897C9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and </w:t>
      </w:r>
      <w:r w:rsidR="003E1B2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to 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also </w:t>
      </w:r>
      <w:r w:rsidR="003E1B2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grow</w:t>
      </w:r>
      <w:r w:rsidR="00247B0C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as a club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. Examples of which are coaches</w:t>
      </w:r>
      <w:r w:rsidR="00247B0C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delivering </w:t>
      </w:r>
      <w:r w:rsidR="003E1B2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disability sessions, </w:t>
      </w:r>
      <w:r w:rsidR="00247B0C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setting up </w:t>
      </w:r>
      <w:r w:rsidR="003E1B2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women and girls</w:t>
      </w:r>
      <w:r w:rsidR="00247B0C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teams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and also delivering on Sport England 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funded 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projects</w:t>
      </w:r>
      <w:r w:rsidR="00897C9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, such as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</w:t>
      </w:r>
      <w:r w:rsidR="00897C9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Satellite Clubs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, </w:t>
      </w:r>
      <w:r w:rsidR="00897C9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Sportivate 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and </w:t>
      </w:r>
      <w:r w:rsidR="00897C9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School Games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. In addition to th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e European Social </w:t>
      </w:r>
      <w:proofErr w:type="spellStart"/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Fundind</w:t>
      </w:r>
      <w:proofErr w:type="spellEnd"/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, a further 90 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coaches were supported through L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evel 1,</w:t>
      </w:r>
      <w:r w:rsidR="00317DC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2</w:t>
      </w:r>
      <w:r w:rsidR="00317DC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and 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3 coach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>ing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and officiating qualifications funded 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through </w:t>
      </w:r>
      <w:r w:rsidR="00317DC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the </w:t>
      </w:r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Tyne &amp; Wear Coaching </w:t>
      </w:r>
      <w:r w:rsidR="00317DC4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Bursary </w:t>
      </w:r>
      <w:r w:rsidR="00776C99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Scheme. </w:t>
      </w:r>
      <w:bookmarkStart w:id="0" w:name="_GoBack"/>
      <w:bookmarkEnd w:id="0"/>
      <w:r w:rsidR="007C7E1F">
        <w:rPr>
          <w:rFonts w:ascii="Arial" w:eastAsia="Times New Roman" w:hAnsi="Arial" w:cs="Arial"/>
          <w:color w:val="45403E"/>
          <w:sz w:val="24"/>
          <w:szCs w:val="24"/>
          <w:lang w:eastAsia="en-GB"/>
        </w:rPr>
        <w:t xml:space="preserve"> </w:t>
      </w:r>
    </w:p>
    <w:p w:rsidR="002E766B" w:rsidRDefault="002E766B" w:rsidP="002B6D4D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4"/>
          <w:szCs w:val="24"/>
          <w:lang w:eastAsia="en-GB"/>
        </w:rPr>
      </w:pPr>
    </w:p>
    <w:p w:rsidR="002E766B" w:rsidRDefault="002E766B" w:rsidP="002B6D4D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4"/>
          <w:szCs w:val="24"/>
          <w:lang w:eastAsia="en-GB"/>
        </w:rPr>
      </w:pPr>
    </w:p>
    <w:p w:rsidR="002E766B" w:rsidRDefault="002E766B" w:rsidP="002B6D4D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4"/>
          <w:szCs w:val="24"/>
          <w:lang w:eastAsia="en-GB"/>
        </w:rPr>
      </w:pPr>
    </w:p>
    <w:p w:rsidR="002E766B" w:rsidRDefault="002E766B" w:rsidP="002B6D4D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4"/>
          <w:szCs w:val="24"/>
          <w:lang w:eastAsia="en-GB"/>
        </w:rPr>
      </w:pPr>
    </w:p>
    <w:p w:rsidR="002E766B" w:rsidRDefault="002E766B" w:rsidP="002B6D4D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4"/>
          <w:szCs w:val="24"/>
          <w:lang w:eastAsia="en-GB"/>
        </w:rPr>
      </w:pPr>
    </w:p>
    <w:p w:rsidR="002E766B" w:rsidRDefault="002E766B" w:rsidP="002B6D4D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4"/>
          <w:szCs w:val="24"/>
          <w:lang w:eastAsia="en-GB"/>
        </w:rPr>
      </w:pPr>
    </w:p>
    <w:p w:rsidR="00C4043F" w:rsidRPr="00A030AD" w:rsidRDefault="00A030AD" w:rsidP="002F4C02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</w:pPr>
      <w:r w:rsidRPr="00A030AD"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  <w:t>Delivery Schedule</w:t>
      </w:r>
      <w:r w:rsidR="007C7E1F">
        <w:rPr>
          <w:rFonts w:ascii="Arial" w:eastAsia="Times New Roman" w:hAnsi="Arial" w:cs="Arial"/>
          <w:b/>
          <w:color w:val="45403E"/>
          <w:sz w:val="24"/>
          <w:szCs w:val="24"/>
          <w:lang w:eastAsia="en-GB"/>
        </w:rPr>
        <w:t>:</w:t>
      </w:r>
    </w:p>
    <w:p w:rsidR="00A030AD" w:rsidRPr="00691A8E" w:rsidRDefault="00A030AD" w:rsidP="002F4C02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1276"/>
        <w:gridCol w:w="2126"/>
        <w:gridCol w:w="1134"/>
        <w:gridCol w:w="1360"/>
      </w:tblGrid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b/>
                <w:bCs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b/>
                <w:bCs/>
                <w:color w:val="45403E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b/>
                <w:bCs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b/>
                <w:bCs/>
                <w:color w:val="45403E"/>
                <w:sz w:val="20"/>
                <w:szCs w:val="20"/>
                <w:lang w:eastAsia="en-GB"/>
              </w:rPr>
              <w:t>Partner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b/>
                <w:bCs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b/>
                <w:bCs/>
                <w:color w:val="45403E"/>
                <w:sz w:val="20"/>
                <w:szCs w:val="20"/>
                <w:lang w:eastAsia="en-GB"/>
              </w:rPr>
              <w:t>Cost per head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b/>
                <w:bCs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b/>
                <w:bCs/>
                <w:color w:val="45403E"/>
                <w:sz w:val="20"/>
                <w:szCs w:val="20"/>
                <w:lang w:eastAsia="en-GB"/>
              </w:rPr>
              <w:t>Delivery Date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b/>
                <w:bCs/>
                <w:color w:val="45403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5403E"/>
                <w:sz w:val="20"/>
                <w:szCs w:val="20"/>
                <w:lang w:eastAsia="en-GB"/>
              </w:rPr>
              <w:t>Funded places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b/>
                <w:bCs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b/>
                <w:bCs/>
                <w:color w:val="45403E"/>
                <w:sz w:val="20"/>
                <w:szCs w:val="20"/>
                <w:lang w:eastAsia="en-GB"/>
              </w:rPr>
              <w:t>% Funding Awarded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Gymnastics Level 1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British Gymnastics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£140.00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January 17th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Cricket Level 2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Durham Cricket Board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£275.00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January 25th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Rugby Union Level 2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Rugby Football Union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2E766B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£83.00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February 1st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FA Football Level 1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Northumberland FA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£140.00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February 2nd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FA Football Level 1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Northumberland FA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£140.00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February 16th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Judo Level 1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British Judo Association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February 26th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FA Football Level 1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Northumberland FA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£140.00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March 2nd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Cycling Level 2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British Cycling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£380.00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March 7th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Judo Level 2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British Judo Association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£380.00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March 21st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Badminton Level 2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Badminton England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£380.00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March 28th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Rugby League Level 2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691A8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The RFL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£200.00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April 18th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FA Football Level 1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Durham FA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£120.00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April 21st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FA Football Level 1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Northumberland FA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£140.00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April 22nd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Netball Level 2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England Netball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£360.00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April 25th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FA Football Level 1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Durham FA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£120.00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May 9th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Angling Level 2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Angling Trust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£440.00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May 9th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86%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FA Football Level 1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Northumberland FA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£140.00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June 1st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Volleyball Level 2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Volleyball England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£450.00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June 20th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84%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Swimming Level 2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2E766B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5403E"/>
                <w:sz w:val="18"/>
                <w:szCs w:val="18"/>
                <w:lang w:eastAsia="en-GB"/>
              </w:rPr>
              <w:t>ASA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£680.00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June 22nd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55%</w:t>
            </w:r>
          </w:p>
        </w:tc>
      </w:tr>
      <w:tr w:rsidR="003C76A5" w:rsidRPr="00691A8E" w:rsidTr="002E766B">
        <w:trPr>
          <w:trHeight w:val="300"/>
        </w:trPr>
        <w:tc>
          <w:tcPr>
            <w:tcW w:w="2235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FA Football Level 1</w:t>
            </w:r>
          </w:p>
        </w:tc>
        <w:tc>
          <w:tcPr>
            <w:tcW w:w="2551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Northumberland FA</w:t>
            </w:r>
          </w:p>
        </w:tc>
        <w:tc>
          <w:tcPr>
            <w:tcW w:w="127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£140.00</w:t>
            </w:r>
          </w:p>
        </w:tc>
        <w:tc>
          <w:tcPr>
            <w:tcW w:w="2126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June 22nd 2015</w:t>
            </w:r>
          </w:p>
        </w:tc>
        <w:tc>
          <w:tcPr>
            <w:tcW w:w="1134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60" w:type="dxa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color w:val="45403E"/>
                <w:sz w:val="20"/>
                <w:szCs w:val="20"/>
                <w:lang w:eastAsia="en-GB"/>
              </w:rPr>
              <w:t>100%</w:t>
            </w:r>
          </w:p>
        </w:tc>
      </w:tr>
      <w:tr w:rsidR="003C76A5" w:rsidRPr="00691A8E" w:rsidTr="002E766B">
        <w:trPr>
          <w:gridBefore w:val="3"/>
          <w:gridAfter w:val="1"/>
          <w:wBefore w:w="6062" w:type="dxa"/>
          <w:wAfter w:w="1360" w:type="dxa"/>
          <w:trHeight w:val="300"/>
        </w:trPr>
        <w:tc>
          <w:tcPr>
            <w:tcW w:w="2126" w:type="dxa"/>
            <w:shd w:val="clear" w:color="auto" w:fill="FFFFFF" w:themeFill="background1"/>
            <w:noWrap/>
            <w:hideMark/>
          </w:tcPr>
          <w:p w:rsidR="003C76A5" w:rsidRPr="00691A8E" w:rsidRDefault="003C76A5" w:rsidP="00691A8E">
            <w:pPr>
              <w:shd w:val="clear" w:color="auto" w:fill="FFFFFF"/>
              <w:spacing w:line="270" w:lineRule="atLeast"/>
              <w:jc w:val="right"/>
              <w:rPr>
                <w:rFonts w:ascii="Arial" w:eastAsia="Times New Roman" w:hAnsi="Arial" w:cs="Arial"/>
                <w:b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b/>
                <w:color w:val="45403E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C76A5" w:rsidRPr="00691A8E" w:rsidRDefault="003C76A5" w:rsidP="002F4C0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b/>
                <w:color w:val="45403E"/>
                <w:sz w:val="20"/>
                <w:szCs w:val="20"/>
                <w:lang w:eastAsia="en-GB"/>
              </w:rPr>
            </w:pPr>
            <w:r w:rsidRPr="00691A8E">
              <w:rPr>
                <w:rFonts w:ascii="Arial" w:eastAsia="Times New Roman" w:hAnsi="Arial" w:cs="Arial"/>
                <w:b/>
                <w:color w:val="45403E"/>
                <w:sz w:val="20"/>
                <w:szCs w:val="20"/>
                <w:lang w:eastAsia="en-GB"/>
              </w:rPr>
              <w:t>218</w:t>
            </w:r>
          </w:p>
        </w:tc>
      </w:tr>
    </w:tbl>
    <w:p w:rsidR="002F4C02" w:rsidRPr="00691A8E" w:rsidRDefault="002F4C02" w:rsidP="002F4C02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16"/>
          <w:szCs w:val="16"/>
          <w:lang w:eastAsia="en-GB"/>
        </w:rPr>
      </w:pPr>
    </w:p>
    <w:p w:rsidR="003C76A5" w:rsidRDefault="003C76A5" w:rsidP="00C4043F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0"/>
          <w:szCs w:val="20"/>
          <w:lang w:eastAsia="en-GB"/>
        </w:rPr>
      </w:pPr>
    </w:p>
    <w:p w:rsidR="006B480F" w:rsidRPr="00691A8E" w:rsidRDefault="006B480F" w:rsidP="00C4043F">
      <w:pPr>
        <w:shd w:val="clear" w:color="auto" w:fill="FFFFFF"/>
        <w:spacing w:line="270" w:lineRule="atLeast"/>
        <w:rPr>
          <w:rFonts w:ascii="Arial" w:eastAsia="Times New Roman" w:hAnsi="Arial" w:cs="Arial"/>
          <w:color w:val="45403E"/>
          <w:sz w:val="20"/>
          <w:szCs w:val="20"/>
          <w:lang w:eastAsia="en-GB"/>
        </w:rPr>
      </w:pPr>
    </w:p>
    <w:sectPr w:rsidR="006B480F" w:rsidRPr="00691A8E" w:rsidSect="00841286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4D"/>
    <w:rsid w:val="00247B0C"/>
    <w:rsid w:val="002B4312"/>
    <w:rsid w:val="002B6D4D"/>
    <w:rsid w:val="002E766B"/>
    <w:rsid w:val="002F4C02"/>
    <w:rsid w:val="003055D6"/>
    <w:rsid w:val="00317DC4"/>
    <w:rsid w:val="00326501"/>
    <w:rsid w:val="003B0128"/>
    <w:rsid w:val="003C76A5"/>
    <w:rsid w:val="003E1B29"/>
    <w:rsid w:val="004735A5"/>
    <w:rsid w:val="00535BBA"/>
    <w:rsid w:val="00683D6C"/>
    <w:rsid w:val="00691A8E"/>
    <w:rsid w:val="006B480F"/>
    <w:rsid w:val="006F7853"/>
    <w:rsid w:val="00776C99"/>
    <w:rsid w:val="007C7E1F"/>
    <w:rsid w:val="00807256"/>
    <w:rsid w:val="00841286"/>
    <w:rsid w:val="00897C94"/>
    <w:rsid w:val="00943F2D"/>
    <w:rsid w:val="00A030AD"/>
    <w:rsid w:val="00A612AE"/>
    <w:rsid w:val="00A92FB1"/>
    <w:rsid w:val="00AE4C3F"/>
    <w:rsid w:val="00B422CD"/>
    <w:rsid w:val="00B66D9A"/>
    <w:rsid w:val="00C4043F"/>
    <w:rsid w:val="00CD38F8"/>
    <w:rsid w:val="00CF40CE"/>
    <w:rsid w:val="00D73683"/>
    <w:rsid w:val="00E61841"/>
    <w:rsid w:val="00F403F7"/>
    <w:rsid w:val="00F91240"/>
    <w:rsid w:val="00FA3DB3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C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7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C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C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7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33AF-FAFD-4A2F-AC05-51D595DA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Nicholson</dc:creator>
  <cp:lastModifiedBy>adam.brougham</cp:lastModifiedBy>
  <cp:revision>3</cp:revision>
  <dcterms:created xsi:type="dcterms:W3CDTF">2015-12-08T11:57:00Z</dcterms:created>
  <dcterms:modified xsi:type="dcterms:W3CDTF">2015-12-16T11:02:00Z</dcterms:modified>
</cp:coreProperties>
</file>